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8FC9B" w14:textId="77777777" w:rsidR="005D04EA" w:rsidRPr="005F21CE" w:rsidRDefault="00767DE4">
      <w:pPr>
        <w:pBdr>
          <w:top w:val="none" w:sz="0" w:space="4" w:color="auto"/>
          <w:left w:val="none" w:sz="0" w:space="8" w:color="auto"/>
          <w:bottom w:val="none" w:sz="0" w:space="4" w:color="auto"/>
        </w:pBdr>
        <w:shd w:val="clear" w:color="auto" w:fill="000000"/>
        <w:spacing w:after="240" w:line="384" w:lineRule="auto"/>
        <w:ind w:left="150"/>
        <w:rPr>
          <w:lang w:val="en-US"/>
        </w:rPr>
      </w:pPr>
      <w:r w:rsidRPr="005F21CE">
        <w:rPr>
          <w:b/>
          <w:sz w:val="30"/>
          <w:lang w:val="en-US"/>
        </w:rPr>
        <w:t xml:space="preserve"> 4. Management Discussion and Analysis (MD&amp;A) </w:t>
      </w:r>
    </w:p>
    <w:p w14:paraId="457F961B" w14:textId="77777777" w:rsidR="005D04EA" w:rsidRPr="005F21CE" w:rsidRDefault="005D04EA">
      <w:pPr>
        <w:spacing w:after="0" w:line="384" w:lineRule="auto"/>
        <w:rPr>
          <w:lang w:val="en-US"/>
        </w:rPr>
      </w:pPr>
      <w:bookmarkStart w:id="0" w:name="4-1"/>
    </w:p>
    <w:bookmarkEnd w:id="0"/>
    <w:p w14:paraId="4AAE74CE" w14:textId="77777777" w:rsidR="005D04EA" w:rsidRPr="005F21CE" w:rsidRDefault="00767DE4">
      <w:pPr>
        <w:spacing w:after="0" w:line="384" w:lineRule="auto"/>
        <w:rPr>
          <w:lang w:val="en-US"/>
        </w:rPr>
      </w:pPr>
      <w:r w:rsidRPr="005F21CE">
        <w:rPr>
          <w:b/>
          <w:sz w:val="30"/>
          <w:lang w:val="en-US"/>
        </w:rPr>
        <w:t xml:space="preserve"> </w:t>
      </w:r>
      <w:bookmarkStart w:id="1" w:name="discussionOperationAndFinancialCondition"/>
      <w:r w:rsidRPr="005F21CE">
        <w:rPr>
          <w:b/>
          <w:sz w:val="30"/>
          <w:lang w:val="en-US"/>
        </w:rPr>
        <w:t>4.1 Operation, financial condition and material changes</w:t>
      </w:r>
      <w:bookmarkEnd w:id="1"/>
      <w:r w:rsidRPr="005F21CE">
        <w:rPr>
          <w:b/>
          <w:sz w:val="30"/>
          <w:lang w:val="en-US"/>
        </w:rPr>
        <w:t xml:space="preserve"> </w:t>
      </w:r>
    </w:p>
    <w:p w14:paraId="21C3EB5D" w14:textId="77777777" w:rsidR="005D04EA" w:rsidRPr="005F21CE" w:rsidRDefault="005D04EA">
      <w:pPr>
        <w:spacing w:after="0" w:line="384" w:lineRule="auto"/>
        <w:rPr>
          <w:lang w:val="en-US"/>
        </w:rPr>
      </w:pPr>
      <w:bookmarkStart w:id="2" w:name="doafc01"/>
    </w:p>
    <w:bookmarkEnd w:id="2"/>
    <w:p w14:paraId="7429112B" w14:textId="77777777" w:rsidR="005D04EA" w:rsidRPr="005F21CE" w:rsidRDefault="00767DE4">
      <w:pPr>
        <w:pBdr>
          <w:left w:val="none" w:sz="0" w:space="1" w:color="auto"/>
        </w:pBdr>
        <w:spacing w:before="30" w:after="30" w:line="384" w:lineRule="auto"/>
        <w:ind w:left="15"/>
        <w:rPr>
          <w:lang w:val="en-US"/>
        </w:rPr>
      </w:pPr>
      <w:r w:rsidRPr="005F21CE">
        <w:rPr>
          <w:b/>
          <w:sz w:val="27"/>
          <w:lang w:val="en-US"/>
        </w:rPr>
        <w:t xml:space="preserve"> Operational overview </w:t>
      </w:r>
    </w:p>
    <w:p w14:paraId="66849C46" w14:textId="77777777" w:rsidR="005D04EA" w:rsidRPr="005F21CE" w:rsidRDefault="00767DE4">
      <w:pPr>
        <w:spacing w:after="0" w:line="288" w:lineRule="auto"/>
        <w:rPr>
          <w:lang w:val="en-US"/>
        </w:rPr>
      </w:pPr>
      <w:r w:rsidRPr="005F21CE">
        <w:rPr>
          <w:b/>
          <w:sz w:val="27"/>
          <w:lang w:val="en-US"/>
        </w:rPr>
        <w:t xml:space="preserve"> 1) Overview of the Business of the Company and its Subsidiary</w:t>
      </w:r>
    </w:p>
    <w:p w14:paraId="086C1ACD" w14:textId="77777777" w:rsidR="005D04EA" w:rsidRPr="005F21CE" w:rsidRDefault="00767DE4">
      <w:pPr>
        <w:spacing w:after="0" w:line="288" w:lineRule="auto"/>
        <w:rPr>
          <w:lang w:val="en-US"/>
        </w:rPr>
      </w:pPr>
      <w:r w:rsidRPr="005F21CE">
        <w:rPr>
          <w:sz w:val="27"/>
          <w:lang w:val="en-US"/>
        </w:rPr>
        <w:t>       In 2025, the Company adjusted its marketing strategies by expanding and diversifying channels to reach target customer segments more effectively, while continuing to maintain and strengthen its existing core customer base. The Company places strong emphasis on delivering high-quality and reliable products and services by leveraging the expertise and experience of its team, innovation, maintaining cost control, and ensuring efficient project delivery. These efforts are intended to enhance the Company’s competitiveness amid market conditions that continue to affect both the real estate sector and the construction contracting industry.</w:t>
      </w:r>
    </w:p>
    <w:p w14:paraId="364CD721" w14:textId="77777777" w:rsidR="005D04EA" w:rsidRPr="005F21CE" w:rsidRDefault="00767DE4">
      <w:pPr>
        <w:spacing w:after="0" w:line="288" w:lineRule="auto"/>
        <w:rPr>
          <w:lang w:val="en-US"/>
        </w:rPr>
      </w:pPr>
      <w:r w:rsidRPr="005F21CE">
        <w:rPr>
          <w:sz w:val="27"/>
          <w:lang w:val="en-US"/>
        </w:rPr>
        <w:t xml:space="preserve">       For the solar rooftop power generation system products, new market entrants continued to enter the industry, as demands for system installations in both the residential and industrial sectors remained high, resulting in increasingly intense price competition. Nevertheless, the Company continues to focus primarily on providing services to industrial factory clients and residential customers.            </w:t>
      </w:r>
      <w:r w:rsidRPr="005F21CE">
        <w:rPr>
          <w:lang w:val="en-US"/>
        </w:rPr>
        <w:br/>
      </w:r>
      <w:r w:rsidRPr="005F21CE">
        <w:rPr>
          <w:sz w:val="27"/>
          <w:lang w:val="en-US"/>
        </w:rPr>
        <w:t>       Regarding the solar energy business operated by the subsidiary, the focus remained on continuously improving system performance and enhancing the management of solar power plants in order to increase operational stability and the efficiency of electricity generation.       </w:t>
      </w:r>
    </w:p>
    <w:p w14:paraId="3CE5F0B8" w14:textId="77777777" w:rsidR="005D04EA" w:rsidRPr="005F21CE" w:rsidRDefault="00767DE4">
      <w:pPr>
        <w:spacing w:after="0" w:line="288" w:lineRule="auto"/>
        <w:rPr>
          <w:lang w:val="en-US"/>
        </w:rPr>
      </w:pPr>
      <w:r w:rsidRPr="005F21CE">
        <w:rPr>
          <w:b/>
          <w:sz w:val="27"/>
          <w:lang w:val="en-US"/>
        </w:rPr>
        <w:t xml:space="preserve">2) Operating Performance Analysis </w:t>
      </w:r>
    </w:p>
    <w:p w14:paraId="5C50939D" w14:textId="77777777" w:rsidR="005D04EA" w:rsidRPr="005F21CE" w:rsidRDefault="00767DE4">
      <w:pPr>
        <w:spacing w:after="0" w:line="288" w:lineRule="auto"/>
        <w:rPr>
          <w:lang w:val="en-US"/>
        </w:rPr>
      </w:pPr>
      <w:r w:rsidRPr="005F21CE">
        <w:rPr>
          <w:b/>
          <w:sz w:val="27"/>
          <w:lang w:val="en-US"/>
        </w:rPr>
        <w:t>       </w:t>
      </w:r>
      <w:r w:rsidRPr="005F21CE">
        <w:rPr>
          <w:sz w:val="27"/>
          <w:lang w:val="en-US"/>
        </w:rPr>
        <w:t xml:space="preserve"> According to the Company and its subsidiary’s business operational results for the 12-month period ended December 31, 2025, the Company and its subsidiary had loss of THB 89.91 million. Such loss increased by THB 60.78 million from the previous year due to a decrease in revenue from sales and services of THB 360.11 million from the previous year because the Company adjusted its strategy to focus on the quality of products for customers. The gross profit margin was 2.0 percent higher than the previous year. During the period, cost of sales recognized an impairment loss on solar rooftop products of THB 4.24 million due to the product price impacts. Accordingly, estimated incremental cost of solar rooftop projects amounted to THB 17.34 million and recognized impairment loss in accordance with TFRS9 amounted to THB 5.36 million. In </w:t>
      </w:r>
      <w:r w:rsidRPr="005F21CE">
        <w:rPr>
          <w:sz w:val="27"/>
          <w:lang w:val="en-US"/>
        </w:rPr>
        <w:lastRenderedPageBreak/>
        <w:t>2025, the Company and its subsidiary arranged an appraisal of the fair value of the land conducted by an independent valuer, using a market price comparison method. Such evaluation result demonstrated a gain from asset revaluation in other comprehensive income statement of THB 162.3 million, and a loss from asset revaluation in the profit and loss statement of THB 21.2 million. Key changing items are as follows:</w:t>
      </w:r>
    </w:p>
    <w:p w14:paraId="1A3BE6E6" w14:textId="77777777" w:rsidR="005D04EA" w:rsidRPr="005F21CE" w:rsidRDefault="00767DE4">
      <w:pPr>
        <w:spacing w:after="0" w:line="288" w:lineRule="auto"/>
        <w:rPr>
          <w:lang w:val="en-US"/>
        </w:rPr>
      </w:pPr>
      <w:r w:rsidRPr="005F21CE">
        <w:rPr>
          <w:sz w:val="27"/>
          <w:lang w:val="en-US"/>
        </w:rPr>
        <w:t>       (1) Revenue from sales and service of the Company amounted to THB 758.65 million, a decrease of THB 390.93 million or 34.0 percent from the previous year. Namely, sales of water management products amounted to THB 551.50 million, a decrease of THB 171.63 million from the previous year, and sales of materials and equipment for environmental preservation products amounted to THB 207.14 million, a decrease of THB 219.31 million from the previous year.</w:t>
      </w:r>
    </w:p>
    <w:p w14:paraId="0715B882" w14:textId="77777777" w:rsidR="005D04EA" w:rsidRPr="005F21CE" w:rsidRDefault="00767DE4">
      <w:pPr>
        <w:spacing w:after="0" w:line="288" w:lineRule="auto"/>
        <w:rPr>
          <w:lang w:val="en-US"/>
        </w:rPr>
      </w:pPr>
      <w:r w:rsidRPr="005F21CE">
        <w:rPr>
          <w:sz w:val="27"/>
          <w:lang w:val="en-US"/>
        </w:rPr>
        <w:t xml:space="preserve">       (2) Gross profit amounted to THB 154.38 million, a decrease of THB 73.44 million or 32.2 percent from the previous year. Even though revenue from sales and services decreased, gross profit margin of 20.3 percent </w:t>
      </w:r>
      <w:proofErr w:type="spellStart"/>
      <w:r w:rsidRPr="005F21CE">
        <w:rPr>
          <w:sz w:val="27"/>
          <w:lang w:val="en-US"/>
        </w:rPr>
        <w:t>increased</w:t>
      </w:r>
      <w:proofErr w:type="spellEnd"/>
      <w:r w:rsidRPr="005F21CE">
        <w:rPr>
          <w:sz w:val="27"/>
          <w:lang w:val="en-US"/>
        </w:rPr>
        <w:t xml:space="preserve"> from the previous year in which it was at 19.8 percent.</w:t>
      </w:r>
    </w:p>
    <w:p w14:paraId="67541A7B" w14:textId="77777777" w:rsidR="005D04EA" w:rsidRPr="005F21CE" w:rsidRDefault="00767DE4">
      <w:pPr>
        <w:spacing w:after="0" w:line="288" w:lineRule="auto"/>
        <w:rPr>
          <w:lang w:val="en-US"/>
        </w:rPr>
      </w:pPr>
      <w:r w:rsidRPr="005F21CE">
        <w:rPr>
          <w:sz w:val="27"/>
          <w:lang w:val="en-US"/>
        </w:rPr>
        <w:t>       (3) Distribution cost amounted to THB 146.11 million, a decrease of THB 13.11 million or 8.2 percent from the previous year. Accordingly, the total distribution cost accounted for 19.3 percent of revenue from sales and services, due to a decrease in revenue from sales and services, which led the ratio to be higher than it was in the previous year.</w:t>
      </w:r>
    </w:p>
    <w:p w14:paraId="2088D6EC" w14:textId="77777777" w:rsidR="005D04EA" w:rsidRPr="005F21CE" w:rsidRDefault="00767DE4">
      <w:pPr>
        <w:spacing w:after="0" w:line="288" w:lineRule="auto"/>
        <w:rPr>
          <w:lang w:val="en-US"/>
        </w:rPr>
      </w:pPr>
      <w:r w:rsidRPr="005F21CE">
        <w:rPr>
          <w:sz w:val="27"/>
          <w:lang w:val="en-US"/>
        </w:rPr>
        <w:t>       (4) Administrative expenses amounted to THB 107.21 million, a decrease of THB 3.37 million from the previous year, mainly from personnel expenses and a reverse on an impairment loss on discontinued assets.</w:t>
      </w:r>
    </w:p>
    <w:p w14:paraId="3CA9E756" w14:textId="77777777" w:rsidR="005D04EA" w:rsidRPr="005F21CE" w:rsidRDefault="00767DE4">
      <w:pPr>
        <w:spacing w:after="0" w:line="288" w:lineRule="auto"/>
        <w:rPr>
          <w:lang w:val="en-US"/>
        </w:rPr>
      </w:pPr>
      <w:r w:rsidRPr="005F21CE">
        <w:rPr>
          <w:sz w:val="27"/>
          <w:lang w:val="en-US"/>
        </w:rPr>
        <w:t>       (5) Impairment losses determined in accordance with TFRS9 amounted to THB 5.36 million, while in the previous year, it was recognized at THB 6.15 million.</w:t>
      </w:r>
    </w:p>
    <w:p w14:paraId="5D1CB2A5" w14:textId="77777777" w:rsidR="005D04EA" w:rsidRPr="005F21CE" w:rsidRDefault="00767DE4">
      <w:pPr>
        <w:spacing w:after="0" w:line="288" w:lineRule="auto"/>
        <w:rPr>
          <w:lang w:val="en-US"/>
        </w:rPr>
      </w:pPr>
      <w:r w:rsidRPr="005F21CE">
        <w:rPr>
          <w:sz w:val="27"/>
          <w:lang w:val="en-US"/>
        </w:rPr>
        <w:t>       (6) Financial costs amounted to THB 7.85 million, an increase of THB 1.33 million from the previous year from the purchase of large quantities of goods for stock occurred in late 2024, resulting in an increase of disbursement of loan funds.</w:t>
      </w:r>
    </w:p>
    <w:p w14:paraId="30FE4D11" w14:textId="77777777" w:rsidR="005D04EA" w:rsidRPr="005F21CE" w:rsidRDefault="00767DE4">
      <w:pPr>
        <w:spacing w:after="0" w:line="288" w:lineRule="auto"/>
        <w:rPr>
          <w:lang w:val="en-US"/>
        </w:rPr>
      </w:pPr>
      <w:r w:rsidRPr="005F21CE">
        <w:rPr>
          <w:sz w:val="27"/>
          <w:lang w:val="en-US"/>
        </w:rPr>
        <w:t>       (7) Income tax expense amounted to THB 2.98 million, an increase of THB 1.64 million due to an adjustment made by writing off deferred income tax assets that are expected to be unusable in the future, totaling THB 6.91 million.</w:t>
      </w:r>
    </w:p>
    <w:p w14:paraId="26DF58F3" w14:textId="77777777" w:rsidR="005D04EA" w:rsidRPr="005F21CE" w:rsidRDefault="00767DE4">
      <w:pPr>
        <w:spacing w:after="0" w:line="288" w:lineRule="auto"/>
        <w:rPr>
          <w:lang w:val="en-US"/>
        </w:rPr>
      </w:pPr>
      <w:r w:rsidRPr="005F21CE">
        <w:rPr>
          <w:sz w:val="27"/>
          <w:lang w:val="en-US"/>
        </w:rPr>
        <w:t xml:space="preserve">       (8) The clean energy business of the Company’s subsidiary had net profit for the period of the 12-month period ended December 31, 2025 of THB 21.37 million, a decrease of THB 1.89 million from the previous year. The electricity sales revenue amounted to THB 88.61 million, a decrease of THB 2.82 million from the previous year due to the decreasing change in the Ft value, which was reduced by THB 0.13/unit, even though the electricity production volume was higher than the previous year by 55,394 units. Gross profit margin was 47.2 percent. Administrative expenses were THB 21.32 million, an increase of THB 1.39 million </w:t>
      </w:r>
      <w:r w:rsidRPr="005F21CE">
        <w:rPr>
          <w:sz w:val="27"/>
          <w:lang w:val="en-US"/>
        </w:rPr>
        <w:lastRenderedPageBreak/>
        <w:t>from accrued expenses of solar panel destruction of THB 0.76 million in which the implementation schedule will be next year.</w:t>
      </w:r>
    </w:p>
    <w:p w14:paraId="61641899" w14:textId="77777777" w:rsidR="005D04EA" w:rsidRPr="005F21CE" w:rsidRDefault="005D04EA">
      <w:pPr>
        <w:spacing w:after="0" w:line="288" w:lineRule="auto"/>
        <w:rPr>
          <w:lang w:val="en-US"/>
        </w:rPr>
      </w:pPr>
    </w:p>
    <w:p w14:paraId="581099DF" w14:textId="77777777" w:rsidR="005D04EA" w:rsidRPr="005F21CE" w:rsidRDefault="00767DE4">
      <w:pPr>
        <w:spacing w:after="0" w:line="288" w:lineRule="auto"/>
        <w:rPr>
          <w:lang w:val="en-US"/>
        </w:rPr>
      </w:pPr>
      <w:r w:rsidRPr="005F21CE">
        <w:rPr>
          <w:b/>
          <w:sz w:val="27"/>
          <w:lang w:val="en-US"/>
        </w:rPr>
        <w:t>Financial Position as at December 31, 2025</w:t>
      </w:r>
      <w:r w:rsidRPr="005F21CE">
        <w:rPr>
          <w:sz w:val="27"/>
          <w:lang w:val="en-US"/>
        </w:rPr>
        <w:t xml:space="preserve"> </w:t>
      </w:r>
    </w:p>
    <w:p w14:paraId="0FEBD642" w14:textId="77777777" w:rsidR="005D04EA" w:rsidRPr="005F21CE" w:rsidRDefault="00767DE4">
      <w:pPr>
        <w:spacing w:after="0" w:line="288" w:lineRule="auto"/>
        <w:rPr>
          <w:lang w:val="en-US"/>
        </w:rPr>
      </w:pPr>
      <w:r w:rsidRPr="005F21CE">
        <w:rPr>
          <w:sz w:val="27"/>
          <w:lang w:val="en-US"/>
        </w:rPr>
        <w:t>       As of December 31, 2025, the Company and its subsidiary reported total assets amounted to THB 1,305.4 million, a decrease of THB 77.9 million from the end of the previous year. Total liabilities amounted to THB 395.7 million, a decrease of THB 120.7 million from the end of the previous year. Total shareholders’ equity amounted to THB 909.6 million, an increase of THB 42.7 million compared with the end of the previous year.</w:t>
      </w:r>
    </w:p>
    <w:p w14:paraId="65875813" w14:textId="77777777" w:rsidR="005D04EA" w:rsidRPr="005F21CE" w:rsidRDefault="00767DE4">
      <w:pPr>
        <w:spacing w:after="0" w:line="288" w:lineRule="auto"/>
        <w:rPr>
          <w:lang w:val="en-US"/>
        </w:rPr>
      </w:pPr>
      <w:r w:rsidRPr="005F21CE">
        <w:rPr>
          <w:sz w:val="27"/>
          <w:lang w:val="en-US"/>
        </w:rPr>
        <w:t>The significant changes in the financial position are summarized as follows:</w:t>
      </w:r>
    </w:p>
    <w:p w14:paraId="144AB04A" w14:textId="77777777" w:rsidR="005D04EA" w:rsidRPr="005F21CE" w:rsidRDefault="00767DE4">
      <w:pPr>
        <w:spacing w:after="0" w:line="288" w:lineRule="auto"/>
        <w:rPr>
          <w:lang w:val="en-US"/>
        </w:rPr>
      </w:pPr>
      <w:r w:rsidRPr="005F21CE">
        <w:rPr>
          <w:b/>
          <w:sz w:val="27"/>
          <w:lang w:val="en-US"/>
        </w:rPr>
        <w:t xml:space="preserve">Assets </w:t>
      </w:r>
    </w:p>
    <w:p w14:paraId="1059C321" w14:textId="77777777" w:rsidR="005D04EA" w:rsidRPr="005F21CE" w:rsidRDefault="00767DE4">
      <w:pPr>
        <w:spacing w:after="0" w:line="288" w:lineRule="auto"/>
      </w:pPr>
      <w:r w:rsidRPr="005F21CE">
        <w:rPr>
          <w:b/>
          <w:sz w:val="27"/>
          <w:lang w:val="en-US"/>
        </w:rPr>
        <w:t>       </w:t>
      </w:r>
      <w:r w:rsidRPr="005F21CE">
        <w:rPr>
          <w:sz w:val="27"/>
          <w:lang w:val="en-US"/>
        </w:rPr>
        <w:t xml:space="preserve">(1) Current assets amounted to THB 301.4 million, a decrease of THB 181.8 million from the end of the previous year. </w:t>
      </w:r>
      <w:r w:rsidRPr="005F21CE">
        <w:rPr>
          <w:sz w:val="27"/>
        </w:rPr>
        <w:t xml:space="preserve">The </w:t>
      </w:r>
      <w:proofErr w:type="spellStart"/>
      <w:r w:rsidRPr="005F21CE">
        <w:rPr>
          <w:sz w:val="27"/>
        </w:rPr>
        <w:t>changes</w:t>
      </w:r>
      <w:proofErr w:type="spellEnd"/>
      <w:r w:rsidRPr="005F21CE">
        <w:rPr>
          <w:sz w:val="27"/>
        </w:rPr>
        <w:t xml:space="preserve"> </w:t>
      </w:r>
      <w:proofErr w:type="spellStart"/>
      <w:r w:rsidRPr="005F21CE">
        <w:rPr>
          <w:sz w:val="27"/>
        </w:rPr>
        <w:t>were</w:t>
      </w:r>
      <w:proofErr w:type="spellEnd"/>
      <w:r w:rsidRPr="005F21CE">
        <w:rPr>
          <w:sz w:val="27"/>
        </w:rPr>
        <w:t xml:space="preserve"> </w:t>
      </w:r>
      <w:proofErr w:type="spellStart"/>
      <w:r w:rsidRPr="005F21CE">
        <w:rPr>
          <w:sz w:val="27"/>
        </w:rPr>
        <w:t>mainly</w:t>
      </w:r>
      <w:proofErr w:type="spellEnd"/>
      <w:r w:rsidRPr="005F21CE">
        <w:rPr>
          <w:sz w:val="27"/>
        </w:rPr>
        <w:t xml:space="preserve"> </w:t>
      </w:r>
      <w:proofErr w:type="spellStart"/>
      <w:r w:rsidRPr="005F21CE">
        <w:rPr>
          <w:sz w:val="27"/>
        </w:rPr>
        <w:t>attributable</w:t>
      </w:r>
      <w:proofErr w:type="spellEnd"/>
      <w:r w:rsidRPr="005F21CE">
        <w:rPr>
          <w:sz w:val="27"/>
        </w:rPr>
        <w:t xml:space="preserve"> </w:t>
      </w:r>
      <w:proofErr w:type="spellStart"/>
      <w:r w:rsidRPr="005F21CE">
        <w:rPr>
          <w:sz w:val="27"/>
        </w:rPr>
        <w:t>to</w:t>
      </w:r>
      <w:proofErr w:type="spellEnd"/>
      <w:r w:rsidRPr="005F21CE">
        <w:rPr>
          <w:sz w:val="27"/>
        </w:rPr>
        <w:t xml:space="preserve"> </w:t>
      </w:r>
      <w:proofErr w:type="spellStart"/>
      <w:r w:rsidRPr="005F21CE">
        <w:rPr>
          <w:sz w:val="27"/>
        </w:rPr>
        <w:t>the</w:t>
      </w:r>
      <w:proofErr w:type="spellEnd"/>
      <w:r w:rsidRPr="005F21CE">
        <w:rPr>
          <w:sz w:val="27"/>
        </w:rPr>
        <w:t xml:space="preserve"> </w:t>
      </w:r>
      <w:proofErr w:type="spellStart"/>
      <w:r w:rsidRPr="005F21CE">
        <w:rPr>
          <w:sz w:val="27"/>
        </w:rPr>
        <w:t>following</w:t>
      </w:r>
      <w:proofErr w:type="spellEnd"/>
      <w:r w:rsidRPr="005F21CE">
        <w:rPr>
          <w:sz w:val="27"/>
        </w:rPr>
        <w:t xml:space="preserve"> </w:t>
      </w:r>
      <w:proofErr w:type="spellStart"/>
      <w:r w:rsidRPr="005F21CE">
        <w:rPr>
          <w:sz w:val="27"/>
        </w:rPr>
        <w:t>items</w:t>
      </w:r>
      <w:proofErr w:type="spellEnd"/>
      <w:r w:rsidRPr="005F21CE">
        <w:rPr>
          <w:sz w:val="27"/>
        </w:rPr>
        <w:t>:</w:t>
      </w:r>
    </w:p>
    <w:p w14:paraId="5E9F7DF6" w14:textId="77777777" w:rsidR="005D04EA" w:rsidRPr="005F21CE" w:rsidRDefault="00767DE4">
      <w:pPr>
        <w:numPr>
          <w:ilvl w:val="0"/>
          <w:numId w:val="1"/>
        </w:numPr>
        <w:spacing w:after="0" w:line="384" w:lineRule="auto"/>
        <w:rPr>
          <w:lang w:val="en-US"/>
        </w:rPr>
      </w:pPr>
      <w:r w:rsidRPr="005F21CE">
        <w:rPr>
          <w:sz w:val="27"/>
          <w:lang w:val="en-US"/>
        </w:rPr>
        <w:t>Trade and other receivables amounted to THB 100.9 million, a decrease of THB 87.8 million from the end of the previous year, mainly due to a decrease in trade receivables in line with lower revenue.</w:t>
      </w:r>
    </w:p>
    <w:p w14:paraId="27B03051" w14:textId="77777777" w:rsidR="005D04EA" w:rsidRPr="005F21CE" w:rsidRDefault="00767DE4">
      <w:pPr>
        <w:numPr>
          <w:ilvl w:val="0"/>
          <w:numId w:val="1"/>
        </w:numPr>
        <w:spacing w:after="0" w:line="384" w:lineRule="auto"/>
        <w:rPr>
          <w:lang w:val="en-US"/>
        </w:rPr>
      </w:pPr>
      <w:r w:rsidRPr="005F21CE">
        <w:rPr>
          <w:sz w:val="27"/>
          <w:lang w:val="en-US"/>
        </w:rPr>
        <w:t>Current assets arising from contracts amounted to THB 15.8 million, a decrease of THB 7.2 million from the end of the previous year, resulting from the gradual delivery of project work.</w:t>
      </w:r>
    </w:p>
    <w:p w14:paraId="2D3A671F" w14:textId="77777777" w:rsidR="005D04EA" w:rsidRPr="005F21CE" w:rsidRDefault="00767DE4">
      <w:pPr>
        <w:numPr>
          <w:ilvl w:val="0"/>
          <w:numId w:val="1"/>
        </w:numPr>
        <w:spacing w:after="0" w:line="384" w:lineRule="auto"/>
        <w:rPr>
          <w:lang w:val="en-US"/>
        </w:rPr>
      </w:pPr>
      <w:r w:rsidRPr="005F21CE">
        <w:rPr>
          <w:sz w:val="27"/>
          <w:lang w:val="en-US"/>
        </w:rPr>
        <w:t>Inventories amounted to THB 100.8 million, a decrease of THB 131.8 million from the end of the previous year, comprising a decrease in finished goods of THB 121.4 million, work in progress of THB 1.8 million, raw materials of THB 6.4 million, and goods in transit of THB 2.1 million. However, an additional allowance for inventory obsolescence of THB 4.1 million was recognized.</w:t>
      </w:r>
    </w:p>
    <w:p w14:paraId="3492E5FB" w14:textId="77777777" w:rsidR="005D04EA" w:rsidRPr="005F21CE" w:rsidRDefault="00767DE4">
      <w:pPr>
        <w:numPr>
          <w:ilvl w:val="0"/>
          <w:numId w:val="1"/>
        </w:numPr>
        <w:spacing w:after="0" w:line="384" w:lineRule="auto"/>
        <w:rPr>
          <w:lang w:val="en-US"/>
        </w:rPr>
      </w:pPr>
      <w:r w:rsidRPr="005F21CE">
        <w:rPr>
          <w:sz w:val="27"/>
          <w:lang w:val="en-US"/>
        </w:rPr>
        <w:t>Cost to fulfill a contract with customers amounted to THB 11.6 million, a decrease of THB 6.0 million from the end of the previous year.</w:t>
      </w:r>
    </w:p>
    <w:p w14:paraId="028DA03C" w14:textId="77777777" w:rsidR="005D04EA" w:rsidRPr="005F21CE" w:rsidRDefault="00767DE4">
      <w:pPr>
        <w:numPr>
          <w:ilvl w:val="0"/>
          <w:numId w:val="1"/>
        </w:numPr>
        <w:spacing w:after="0" w:line="384" w:lineRule="auto"/>
        <w:rPr>
          <w:lang w:val="en-US"/>
        </w:rPr>
      </w:pPr>
      <w:r w:rsidRPr="005F21CE">
        <w:rPr>
          <w:sz w:val="27"/>
          <w:lang w:val="en-US"/>
        </w:rPr>
        <w:t>Current income tax assets amounted to THB 6.4 million, a decrease of THB 5.1 million from the end of the previous year, as the Company received a tax refund for the year 2024 from the Revenue Department.</w:t>
      </w:r>
    </w:p>
    <w:p w14:paraId="0E48CD4E" w14:textId="77777777" w:rsidR="005D04EA" w:rsidRPr="005F21CE" w:rsidRDefault="00767DE4">
      <w:pPr>
        <w:numPr>
          <w:ilvl w:val="0"/>
          <w:numId w:val="1"/>
        </w:numPr>
        <w:spacing w:after="0" w:line="384" w:lineRule="auto"/>
        <w:rPr>
          <w:lang w:val="en-US"/>
        </w:rPr>
      </w:pPr>
      <w:r w:rsidRPr="005F21CE">
        <w:rPr>
          <w:sz w:val="27"/>
          <w:lang w:val="en-US"/>
        </w:rPr>
        <w:lastRenderedPageBreak/>
        <w:t>Other current financial assets amounted to THB 56.4 million, an increase of THB 56.3 million from the end of the previous year, representing short-term investments in unit trust for temporary liquidity management of a subsidiary.</w:t>
      </w:r>
    </w:p>
    <w:p w14:paraId="19F8E2F6" w14:textId="77777777" w:rsidR="005D04EA" w:rsidRPr="005F21CE" w:rsidRDefault="00767DE4">
      <w:pPr>
        <w:numPr>
          <w:ilvl w:val="0"/>
          <w:numId w:val="1"/>
        </w:numPr>
        <w:spacing w:after="0" w:line="384" w:lineRule="auto"/>
        <w:rPr>
          <w:lang w:val="en-US"/>
        </w:rPr>
      </w:pPr>
      <w:r w:rsidRPr="005F21CE">
        <w:rPr>
          <w:sz w:val="27"/>
          <w:lang w:val="en-US"/>
        </w:rPr>
        <w:t>Non-current assets classified as assets held for sale decreased entirely as a result of disposals during the year.</w:t>
      </w:r>
    </w:p>
    <w:p w14:paraId="7C27B5A1" w14:textId="77777777" w:rsidR="005D04EA" w:rsidRPr="005F21CE" w:rsidRDefault="00767DE4">
      <w:pPr>
        <w:spacing w:after="0" w:line="288" w:lineRule="auto"/>
      </w:pPr>
      <w:r w:rsidRPr="005F21CE">
        <w:rPr>
          <w:sz w:val="27"/>
          <w:lang w:val="en-US"/>
        </w:rPr>
        <w:t xml:space="preserve">       (2) Non-current assets amounted to THB 1,004.0 million, an increase of THB 103.9 million from the end of the previous year. </w:t>
      </w:r>
      <w:r w:rsidRPr="005F21CE">
        <w:rPr>
          <w:sz w:val="27"/>
        </w:rPr>
        <w:t xml:space="preserve">The </w:t>
      </w:r>
      <w:proofErr w:type="spellStart"/>
      <w:r w:rsidRPr="005F21CE">
        <w:rPr>
          <w:sz w:val="27"/>
        </w:rPr>
        <w:t>changes</w:t>
      </w:r>
      <w:proofErr w:type="spellEnd"/>
      <w:r w:rsidRPr="005F21CE">
        <w:rPr>
          <w:sz w:val="27"/>
        </w:rPr>
        <w:t xml:space="preserve"> </w:t>
      </w:r>
      <w:proofErr w:type="spellStart"/>
      <w:r w:rsidRPr="005F21CE">
        <w:rPr>
          <w:sz w:val="27"/>
        </w:rPr>
        <w:t>were</w:t>
      </w:r>
      <w:proofErr w:type="spellEnd"/>
      <w:r w:rsidRPr="005F21CE">
        <w:rPr>
          <w:sz w:val="27"/>
        </w:rPr>
        <w:t xml:space="preserve"> </w:t>
      </w:r>
      <w:proofErr w:type="spellStart"/>
      <w:r w:rsidRPr="005F21CE">
        <w:rPr>
          <w:sz w:val="27"/>
        </w:rPr>
        <w:t>mainly</w:t>
      </w:r>
      <w:proofErr w:type="spellEnd"/>
      <w:r w:rsidRPr="005F21CE">
        <w:rPr>
          <w:sz w:val="27"/>
        </w:rPr>
        <w:t xml:space="preserve"> </w:t>
      </w:r>
      <w:proofErr w:type="spellStart"/>
      <w:r w:rsidRPr="005F21CE">
        <w:rPr>
          <w:sz w:val="27"/>
        </w:rPr>
        <w:t>attributable</w:t>
      </w:r>
      <w:proofErr w:type="spellEnd"/>
      <w:r w:rsidRPr="005F21CE">
        <w:rPr>
          <w:sz w:val="27"/>
        </w:rPr>
        <w:t xml:space="preserve"> </w:t>
      </w:r>
      <w:proofErr w:type="spellStart"/>
      <w:r w:rsidRPr="005F21CE">
        <w:rPr>
          <w:sz w:val="27"/>
        </w:rPr>
        <w:t>to</w:t>
      </w:r>
      <w:proofErr w:type="spellEnd"/>
      <w:r w:rsidRPr="005F21CE">
        <w:rPr>
          <w:sz w:val="27"/>
        </w:rPr>
        <w:t xml:space="preserve"> </w:t>
      </w:r>
      <w:proofErr w:type="spellStart"/>
      <w:r w:rsidRPr="005F21CE">
        <w:rPr>
          <w:sz w:val="27"/>
        </w:rPr>
        <w:t>the</w:t>
      </w:r>
      <w:proofErr w:type="spellEnd"/>
      <w:r w:rsidRPr="005F21CE">
        <w:rPr>
          <w:sz w:val="27"/>
        </w:rPr>
        <w:t xml:space="preserve"> </w:t>
      </w:r>
      <w:proofErr w:type="spellStart"/>
      <w:r w:rsidRPr="005F21CE">
        <w:rPr>
          <w:sz w:val="27"/>
        </w:rPr>
        <w:t>following</w:t>
      </w:r>
      <w:proofErr w:type="spellEnd"/>
      <w:r w:rsidRPr="005F21CE">
        <w:rPr>
          <w:sz w:val="27"/>
        </w:rPr>
        <w:t xml:space="preserve"> </w:t>
      </w:r>
      <w:proofErr w:type="spellStart"/>
      <w:r w:rsidRPr="005F21CE">
        <w:rPr>
          <w:sz w:val="27"/>
        </w:rPr>
        <w:t>items</w:t>
      </w:r>
      <w:proofErr w:type="spellEnd"/>
      <w:r w:rsidRPr="005F21CE">
        <w:rPr>
          <w:sz w:val="27"/>
        </w:rPr>
        <w:t>:</w:t>
      </w:r>
    </w:p>
    <w:p w14:paraId="1A6FDF85" w14:textId="77777777" w:rsidR="005D04EA" w:rsidRPr="005F21CE" w:rsidRDefault="00767DE4">
      <w:pPr>
        <w:numPr>
          <w:ilvl w:val="0"/>
          <w:numId w:val="2"/>
        </w:numPr>
        <w:spacing w:after="0" w:line="384" w:lineRule="auto"/>
        <w:rPr>
          <w:lang w:val="en-US"/>
        </w:rPr>
      </w:pPr>
      <w:r w:rsidRPr="005F21CE">
        <w:rPr>
          <w:sz w:val="27"/>
          <w:lang w:val="en-US"/>
        </w:rPr>
        <w:t>Property, plant, and equipment amounted to THB 855.4 million, an increase of THB 114.9 million from the end of the previous year. This was mainly due to the Company and its subsidiary arranging for an independent appraiser to assess the fair value of land in 2025 using the market comparison approach, resulting in a net increase in land value of THB 141.1 million.</w:t>
      </w:r>
    </w:p>
    <w:p w14:paraId="50DEB8DF" w14:textId="77777777" w:rsidR="005D04EA" w:rsidRPr="005F21CE" w:rsidRDefault="00767DE4">
      <w:pPr>
        <w:numPr>
          <w:ilvl w:val="0"/>
          <w:numId w:val="2"/>
        </w:numPr>
        <w:spacing w:after="0" w:line="384" w:lineRule="auto"/>
        <w:rPr>
          <w:lang w:val="en-US"/>
        </w:rPr>
      </w:pPr>
      <w:r w:rsidRPr="005F21CE">
        <w:rPr>
          <w:sz w:val="27"/>
          <w:lang w:val="en-US"/>
        </w:rPr>
        <w:t>Intangible assets amounted to THB 42.3 million, an increase of THB 5.3 million from the end of the previous year, mainly from investments in the development of an ERP system to improve operational efficiency. The system development and user training for each module are currently in progress.</w:t>
      </w:r>
    </w:p>
    <w:p w14:paraId="0B672EC3" w14:textId="77777777" w:rsidR="005D04EA" w:rsidRPr="005F21CE" w:rsidRDefault="00767DE4">
      <w:pPr>
        <w:numPr>
          <w:ilvl w:val="0"/>
          <w:numId w:val="2"/>
        </w:numPr>
        <w:spacing w:after="0" w:line="384" w:lineRule="auto"/>
        <w:rPr>
          <w:lang w:val="en-US"/>
        </w:rPr>
      </w:pPr>
      <w:r w:rsidRPr="005F21CE">
        <w:rPr>
          <w:sz w:val="27"/>
          <w:lang w:val="en-US"/>
        </w:rPr>
        <w:t>Deferred tax assets amounted to THB 26.8 million, a decrease of THB 12.1 million from the end of the previous year. This was mainly because the Company wrote off deferred tax assets of THB 6.9 million which were not expected to be utilized in the future. In addition, a subsidiary revalued the fair value of certain land plots, resulting in a revaluation loss which led to an increase in deferred tax assets of THB 4.2 million.</w:t>
      </w:r>
    </w:p>
    <w:p w14:paraId="1079A9F6" w14:textId="77777777" w:rsidR="005D04EA" w:rsidRPr="005F21CE" w:rsidRDefault="00767DE4">
      <w:pPr>
        <w:numPr>
          <w:ilvl w:val="0"/>
          <w:numId w:val="2"/>
        </w:numPr>
        <w:spacing w:after="0" w:line="384" w:lineRule="auto"/>
        <w:rPr>
          <w:lang w:val="en-US"/>
        </w:rPr>
      </w:pPr>
      <w:r w:rsidRPr="005F21CE">
        <w:rPr>
          <w:sz w:val="27"/>
          <w:lang w:val="en-US"/>
        </w:rPr>
        <w:t>Retention receivables amounted to THB 16.5 million, a decrease of THB 4.8 million from the end of the previous year, due to the expiration of warranty periods for certain project works.</w:t>
      </w:r>
    </w:p>
    <w:p w14:paraId="267A01E9" w14:textId="77777777" w:rsidR="005D04EA" w:rsidRPr="005F21CE" w:rsidRDefault="00767DE4">
      <w:pPr>
        <w:numPr>
          <w:ilvl w:val="0"/>
          <w:numId w:val="2"/>
        </w:numPr>
        <w:spacing w:after="0" w:line="384" w:lineRule="auto"/>
        <w:rPr>
          <w:lang w:val="en-US"/>
        </w:rPr>
      </w:pPr>
      <w:r w:rsidRPr="005F21CE">
        <w:rPr>
          <w:sz w:val="27"/>
          <w:lang w:val="en-US"/>
        </w:rPr>
        <w:t>Other non-current assets amounted to THB 2.4 million, a decrease of THB 0.2 million from the end of the previous year.</w:t>
      </w:r>
    </w:p>
    <w:p w14:paraId="31A7FC52" w14:textId="77777777" w:rsidR="005D04EA" w:rsidRPr="005F21CE" w:rsidRDefault="00767DE4">
      <w:pPr>
        <w:spacing w:after="0" w:line="288" w:lineRule="auto"/>
        <w:rPr>
          <w:lang w:val="en-US"/>
        </w:rPr>
      </w:pPr>
      <w:r w:rsidRPr="005F21CE">
        <w:rPr>
          <w:b/>
          <w:sz w:val="27"/>
          <w:lang w:val="en-US"/>
        </w:rPr>
        <w:t>Liabilities and Shareholders’ Equity</w:t>
      </w:r>
    </w:p>
    <w:p w14:paraId="1487A3DE" w14:textId="77777777" w:rsidR="005D04EA" w:rsidRPr="005F21CE" w:rsidRDefault="00767DE4">
      <w:pPr>
        <w:spacing w:after="0" w:line="288" w:lineRule="auto"/>
      </w:pPr>
      <w:r w:rsidRPr="005F21CE">
        <w:rPr>
          <w:sz w:val="27"/>
          <w:lang w:val="en-US"/>
        </w:rPr>
        <w:lastRenderedPageBreak/>
        <w:t xml:space="preserve">       (1) As of December 31, 2025, the Company and its subsidiary had total liabilities of THB 395.7 million, a decrease of THB 120.7 million from the end of the previous year, and total shareholders’ equity of THB 909.6 million, an increase of THB 42.7 million from the end of the previous year. </w:t>
      </w:r>
      <w:r w:rsidRPr="005F21CE">
        <w:rPr>
          <w:sz w:val="27"/>
        </w:rPr>
        <w:t xml:space="preserve">The </w:t>
      </w:r>
      <w:proofErr w:type="spellStart"/>
      <w:r w:rsidRPr="005F21CE">
        <w:rPr>
          <w:sz w:val="27"/>
        </w:rPr>
        <w:t>significant</w:t>
      </w:r>
      <w:proofErr w:type="spellEnd"/>
      <w:r w:rsidRPr="005F21CE">
        <w:rPr>
          <w:sz w:val="27"/>
        </w:rPr>
        <w:t xml:space="preserve"> </w:t>
      </w:r>
      <w:proofErr w:type="spellStart"/>
      <w:r w:rsidRPr="005F21CE">
        <w:rPr>
          <w:sz w:val="27"/>
        </w:rPr>
        <w:t>changes</w:t>
      </w:r>
      <w:proofErr w:type="spellEnd"/>
      <w:r w:rsidRPr="005F21CE">
        <w:rPr>
          <w:sz w:val="27"/>
        </w:rPr>
        <w:t xml:space="preserve"> </w:t>
      </w:r>
      <w:proofErr w:type="spellStart"/>
      <w:r w:rsidRPr="005F21CE">
        <w:rPr>
          <w:sz w:val="27"/>
        </w:rPr>
        <w:t>were</w:t>
      </w:r>
      <w:proofErr w:type="spellEnd"/>
      <w:r w:rsidRPr="005F21CE">
        <w:rPr>
          <w:sz w:val="27"/>
        </w:rPr>
        <w:t xml:space="preserve"> </w:t>
      </w:r>
      <w:proofErr w:type="spellStart"/>
      <w:r w:rsidRPr="005F21CE">
        <w:rPr>
          <w:sz w:val="27"/>
        </w:rPr>
        <w:t>as</w:t>
      </w:r>
      <w:proofErr w:type="spellEnd"/>
      <w:r w:rsidRPr="005F21CE">
        <w:rPr>
          <w:sz w:val="27"/>
        </w:rPr>
        <w:t xml:space="preserve"> </w:t>
      </w:r>
      <w:proofErr w:type="spellStart"/>
      <w:r w:rsidRPr="005F21CE">
        <w:rPr>
          <w:sz w:val="27"/>
        </w:rPr>
        <w:t>follows</w:t>
      </w:r>
      <w:proofErr w:type="spellEnd"/>
      <w:r w:rsidRPr="005F21CE">
        <w:rPr>
          <w:sz w:val="27"/>
        </w:rPr>
        <w:t>:</w:t>
      </w:r>
    </w:p>
    <w:p w14:paraId="32A63977" w14:textId="77777777" w:rsidR="005D04EA" w:rsidRPr="005F21CE" w:rsidRDefault="00767DE4">
      <w:pPr>
        <w:numPr>
          <w:ilvl w:val="0"/>
          <w:numId w:val="3"/>
        </w:numPr>
        <w:spacing w:after="0" w:line="384" w:lineRule="auto"/>
        <w:rPr>
          <w:lang w:val="en-US"/>
        </w:rPr>
      </w:pPr>
      <w:r w:rsidRPr="005F21CE">
        <w:rPr>
          <w:sz w:val="27"/>
          <w:lang w:val="en-US"/>
        </w:rPr>
        <w:t>Bank overdrafts and short-term loans from financial institutions amounted to THB 92.0 million, a decrease of THB 35.0 million from the end of the previous year.</w:t>
      </w:r>
    </w:p>
    <w:p w14:paraId="2DF75E74" w14:textId="77777777" w:rsidR="005D04EA" w:rsidRPr="005F21CE" w:rsidRDefault="00767DE4">
      <w:pPr>
        <w:numPr>
          <w:ilvl w:val="0"/>
          <w:numId w:val="3"/>
        </w:numPr>
        <w:spacing w:after="0" w:line="384" w:lineRule="auto"/>
        <w:rPr>
          <w:lang w:val="en-US"/>
        </w:rPr>
      </w:pPr>
      <w:r w:rsidRPr="005F21CE">
        <w:rPr>
          <w:sz w:val="27"/>
          <w:lang w:val="en-US"/>
        </w:rPr>
        <w:t>Trade and other current payables amounted to THB 99.1 million, a decrease of THB 123.7 million from the end of the previous year, comprising a decrease in trade payables of THB 107.2 million, other current payables of THB 1.1 million, accrued expenses of THB 14.2 million, and deposits received of THB 1.2 million.</w:t>
      </w:r>
    </w:p>
    <w:p w14:paraId="05EF41EA" w14:textId="77777777" w:rsidR="005D04EA" w:rsidRPr="005F21CE" w:rsidRDefault="00767DE4">
      <w:pPr>
        <w:numPr>
          <w:ilvl w:val="0"/>
          <w:numId w:val="3"/>
        </w:numPr>
        <w:spacing w:after="0" w:line="384" w:lineRule="auto"/>
        <w:rPr>
          <w:lang w:val="en-US"/>
        </w:rPr>
      </w:pPr>
      <w:r w:rsidRPr="005F21CE">
        <w:rPr>
          <w:sz w:val="27"/>
          <w:lang w:val="en-US"/>
        </w:rPr>
        <w:t>Current liabilities from contracts amounted to THB 1.0 million, a decrease of THB 3.3 million from the end of the previous year, mainly due to a reduction in deposit received in advance and advance received from goods and services.</w:t>
      </w:r>
    </w:p>
    <w:p w14:paraId="46C06335" w14:textId="77777777" w:rsidR="005D04EA" w:rsidRPr="005F21CE" w:rsidRDefault="00767DE4">
      <w:pPr>
        <w:numPr>
          <w:ilvl w:val="0"/>
          <w:numId w:val="3"/>
        </w:numPr>
        <w:spacing w:after="0" w:line="384" w:lineRule="auto"/>
        <w:rPr>
          <w:lang w:val="en-US"/>
        </w:rPr>
      </w:pPr>
      <w:r w:rsidRPr="005F21CE">
        <w:rPr>
          <w:sz w:val="27"/>
          <w:lang w:val="en-US"/>
        </w:rPr>
        <w:t>Long-term loans from financial institutions amounted to THB 42.0 million, an increase of THB 6.5 million from the end of the previous year. This resulted from additional loans of THB 16.0 million for investment in improving the efficiency improvement of a subsidiary’s power plant, and installment of loan repayment of THB 9.5 million.</w:t>
      </w:r>
    </w:p>
    <w:p w14:paraId="5DAAC0BE" w14:textId="77777777" w:rsidR="005D04EA" w:rsidRPr="005F21CE" w:rsidRDefault="00767DE4">
      <w:pPr>
        <w:numPr>
          <w:ilvl w:val="0"/>
          <w:numId w:val="3"/>
        </w:numPr>
        <w:spacing w:after="0" w:line="384" w:lineRule="auto"/>
        <w:rPr>
          <w:lang w:val="en-US"/>
        </w:rPr>
      </w:pPr>
      <w:r w:rsidRPr="005F21CE">
        <w:rPr>
          <w:sz w:val="27"/>
          <w:lang w:val="en-US"/>
        </w:rPr>
        <w:t>Deferred tax liabilities amounted to THB 24.1 million, an increase of THB 24.1 million from the end of the previous year, resulting from the increase in the revaluation of land of a subsidiary.</w:t>
      </w:r>
    </w:p>
    <w:p w14:paraId="7AB126B7" w14:textId="77777777" w:rsidR="005D04EA" w:rsidRPr="005F21CE" w:rsidRDefault="00767DE4">
      <w:pPr>
        <w:numPr>
          <w:ilvl w:val="0"/>
          <w:numId w:val="3"/>
        </w:numPr>
        <w:spacing w:after="0" w:line="384" w:lineRule="auto"/>
        <w:rPr>
          <w:lang w:val="en-US"/>
        </w:rPr>
      </w:pPr>
      <w:r w:rsidRPr="005F21CE">
        <w:rPr>
          <w:sz w:val="27"/>
          <w:lang w:val="en-US"/>
        </w:rPr>
        <w:t>Provisions for long-term employee benefits amounted to THB 52.9 million, a decrease of THB 5.4 million from the end of the previous year due to the remeasurement of long-term employee benefits.</w:t>
      </w:r>
    </w:p>
    <w:p w14:paraId="792737AF" w14:textId="77777777" w:rsidR="005D04EA" w:rsidRPr="005F21CE" w:rsidRDefault="00767DE4">
      <w:pPr>
        <w:spacing w:after="0" w:line="288" w:lineRule="auto"/>
        <w:rPr>
          <w:lang w:val="en-US"/>
        </w:rPr>
      </w:pPr>
      <w:r w:rsidRPr="005F21CE">
        <w:rPr>
          <w:sz w:val="27"/>
          <w:lang w:val="en-US"/>
        </w:rPr>
        <w:t xml:space="preserve">       (2) Shareholders’ equity amounted to THB 909.6 million, an increase of THB 42.7 million from the end of the previous year. The change was mainly attributable to the operating loss for the year and the net increase from the revaluation of land of the Company and its subsidiary. Equity attributable to owners of the Company amounted to THB 724.2 million, an increase of THB 11.0 million from the end of the previous year, </w:t>
      </w:r>
      <w:r w:rsidRPr="005F21CE">
        <w:rPr>
          <w:sz w:val="27"/>
          <w:lang w:val="en-US"/>
        </w:rPr>
        <w:lastRenderedPageBreak/>
        <w:t>while non-controlling interests amounted to THB 185.4 million, an increase of THB 31.7 million from the end of the previous year, which belonged to the subsidiary.</w:t>
      </w:r>
    </w:p>
    <w:p w14:paraId="7090227E" w14:textId="77777777" w:rsidR="005D04EA" w:rsidRPr="005F21CE" w:rsidRDefault="00767DE4">
      <w:pPr>
        <w:spacing w:after="0" w:line="288" w:lineRule="auto"/>
        <w:rPr>
          <w:lang w:val="en-US"/>
        </w:rPr>
      </w:pPr>
      <w:r w:rsidRPr="005F21CE">
        <w:rPr>
          <w:b/>
          <w:sz w:val="27"/>
          <w:lang w:val="en-US"/>
        </w:rPr>
        <w:t>Analysis of Cash Flow Statements</w:t>
      </w:r>
    </w:p>
    <w:p w14:paraId="64882798" w14:textId="77777777" w:rsidR="005D04EA" w:rsidRPr="005F21CE" w:rsidRDefault="00767DE4">
      <w:pPr>
        <w:spacing w:after="0" w:line="288" w:lineRule="auto"/>
        <w:rPr>
          <w:lang w:val="en-US"/>
        </w:rPr>
      </w:pPr>
      <w:r w:rsidRPr="005F21CE">
        <w:rPr>
          <w:sz w:val="27"/>
          <w:lang w:val="en-US"/>
        </w:rPr>
        <w:t>       Net cash flow from operating activities of the Company and its subsidiary in 2025 amounted to THB 123.4 million, mainly from the management of trade receivables and the control of inventory levels.</w:t>
      </w:r>
    </w:p>
    <w:p w14:paraId="5663DABE" w14:textId="77777777" w:rsidR="005D04EA" w:rsidRPr="005F21CE" w:rsidRDefault="00767DE4">
      <w:pPr>
        <w:spacing w:after="0" w:line="288" w:lineRule="auto"/>
        <w:rPr>
          <w:lang w:val="en-US"/>
        </w:rPr>
      </w:pPr>
      <w:r w:rsidRPr="005F21CE">
        <w:rPr>
          <w:sz w:val="27"/>
          <w:lang w:val="en-US"/>
        </w:rPr>
        <w:t>       Cash flow used in investing activities amounted to THB 80.5 million, mainly from an investment in fixed income fund of THB 56.0 million that utilized cash flow from operating activities of the subsidiary, the purchase of assets of THB 23.5 million, and investment in intangible assets relating to the ERP system of THB 6.5 million.</w:t>
      </w:r>
    </w:p>
    <w:p w14:paraId="4FCB93C6" w14:textId="77777777" w:rsidR="005D04EA" w:rsidRPr="005F21CE" w:rsidRDefault="00767DE4">
      <w:pPr>
        <w:spacing w:after="0" w:line="288" w:lineRule="auto"/>
        <w:rPr>
          <w:lang w:val="en-US"/>
        </w:rPr>
      </w:pPr>
      <w:r w:rsidRPr="005F21CE">
        <w:rPr>
          <w:sz w:val="27"/>
          <w:lang w:val="en-US"/>
        </w:rPr>
        <w:t>       Cash flow used in financing activities amounted to THB 41.1 million, consisting of repayment of short-term loans from financial institutions of THB 29.0 million, cash received from long-term loans from financial institutions of THB 15.7 million, repayment of long-term loans from financial institutions of THB 6.9 million, repayment of lease liability of THB 6.7 million, and interest payments of THB 8.3 million.</w:t>
      </w:r>
    </w:p>
    <w:p w14:paraId="4FF0EA38" w14:textId="77777777" w:rsidR="005D04EA" w:rsidRPr="005F21CE" w:rsidRDefault="00767DE4">
      <w:pPr>
        <w:spacing w:after="0" w:line="288" w:lineRule="auto"/>
        <w:rPr>
          <w:lang w:val="en-US"/>
        </w:rPr>
      </w:pPr>
      <w:r w:rsidRPr="005F21CE">
        <w:rPr>
          <w:sz w:val="27"/>
          <w:lang w:val="en-US"/>
        </w:rPr>
        <w:t>       Cash increased during the year by THB 1.7 million. Therefore, the Company and its subsidiary had cash and cash equivalents as of December 31, 2025, totaling THB 8.3 million.</w:t>
      </w:r>
    </w:p>
    <w:p w14:paraId="685657A2" w14:textId="77777777" w:rsidR="005D04EA" w:rsidRPr="005F21CE" w:rsidRDefault="00767DE4">
      <w:pPr>
        <w:pBdr>
          <w:left w:val="none" w:sz="0" w:space="1" w:color="auto"/>
        </w:pBdr>
        <w:spacing w:before="30" w:after="30" w:line="384" w:lineRule="auto"/>
        <w:ind w:left="15"/>
        <w:rPr>
          <w:lang w:val="en-US"/>
        </w:rPr>
      </w:pPr>
      <w:r w:rsidRPr="005F21CE">
        <w:rPr>
          <w:b/>
          <w:sz w:val="27"/>
          <w:lang w:val="en-US"/>
        </w:rPr>
        <w:t xml:space="preserve"> Diagram of operational overview </w:t>
      </w:r>
    </w:p>
    <w:p w14:paraId="536CD444" w14:textId="77777777" w:rsidR="005D04EA" w:rsidRPr="005F21CE" w:rsidRDefault="00767DE4">
      <w:pPr>
        <w:spacing w:after="0" w:line="384" w:lineRule="auto"/>
        <w:jc w:val="center"/>
        <w:rPr>
          <w:lang w:val="en-US"/>
        </w:rPr>
      </w:pPr>
      <w:r w:rsidRPr="005F21CE">
        <w:rPr>
          <w:lang w:val="en-US"/>
        </w:rPr>
        <w:t xml:space="preserve"> </w:t>
      </w:r>
      <w:r w:rsidRPr="005F21CE">
        <w:rPr>
          <w:noProof/>
        </w:rPr>
        <w:drawing>
          <wp:inline distT="0" distB="0" distL="0" distR="0" wp14:anchorId="25E31011" wp14:editId="12EC28E8">
            <wp:extent cx="5000000" cy="1000000"/>
            <wp:effectExtent l="0" t="0" r="0" b="0"/>
            <wp:docPr id="452057389" name="Picture 452057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732145" cy="1630413"/>
                    </a:xfrm>
                    <a:prstGeom prst="rect">
                      <a:avLst/>
                    </a:prstGeom>
                  </pic:spPr>
                </pic:pic>
              </a:graphicData>
            </a:graphic>
          </wp:inline>
        </w:drawing>
      </w:r>
      <w:r w:rsidRPr="005F21CE">
        <w:rPr>
          <w:lang w:val="en-US"/>
        </w:rPr>
        <w:t xml:space="preserve"> </w:t>
      </w:r>
    </w:p>
    <w:p w14:paraId="11181C8F" w14:textId="77777777" w:rsidR="005D04EA" w:rsidRPr="005F21CE" w:rsidRDefault="00767DE4">
      <w:pPr>
        <w:pBdr>
          <w:left w:val="none" w:sz="0" w:space="1" w:color="auto"/>
        </w:pBdr>
        <w:spacing w:before="30" w:after="30" w:line="384" w:lineRule="auto"/>
        <w:ind w:left="15"/>
        <w:rPr>
          <w:lang w:val="en-US"/>
        </w:rPr>
      </w:pPr>
      <w:r w:rsidRPr="005F21CE">
        <w:rPr>
          <w:b/>
          <w:sz w:val="27"/>
          <w:lang w:val="en-US"/>
        </w:rPr>
        <w:t xml:space="preserve"> Issuance of debt securities with an obligation to maintain financial ratios </w:t>
      </w:r>
    </w:p>
    <w:tbl>
      <w:tblPr>
        <w:tblW w:w="0" w:type="auto"/>
        <w:tblCellSpacing w:w="0" w:type="auto"/>
        <w:tblLayout w:type="fixed"/>
        <w:tblLook w:val="04A0" w:firstRow="1" w:lastRow="0" w:firstColumn="1" w:lastColumn="0" w:noHBand="0" w:noVBand="1"/>
      </w:tblPr>
      <w:tblGrid>
        <w:gridCol w:w="3200"/>
        <w:gridCol w:w="240"/>
        <w:gridCol w:w="5160"/>
      </w:tblGrid>
      <w:tr w:rsidR="005D04EA" w:rsidRPr="005F21CE" w14:paraId="392F6D2E" w14:textId="77777777">
        <w:trPr>
          <w:trHeight w:val="2190"/>
          <w:tblCellSpacing w:w="0" w:type="auto"/>
        </w:trPr>
        <w:tc>
          <w:tcPr>
            <w:tcW w:w="3200" w:type="dxa"/>
            <w:tcMar>
              <w:top w:w="15" w:type="dxa"/>
              <w:left w:w="15" w:type="dxa"/>
              <w:bottom w:w="15" w:type="dxa"/>
              <w:right w:w="15" w:type="dxa"/>
            </w:tcMar>
          </w:tcPr>
          <w:p w14:paraId="650C43FB" w14:textId="77777777" w:rsidR="005D04EA" w:rsidRPr="005F21CE" w:rsidRDefault="00767DE4">
            <w:pPr>
              <w:spacing w:after="0" w:line="384" w:lineRule="auto"/>
              <w:jc w:val="right"/>
              <w:rPr>
                <w:lang w:val="en-US"/>
              </w:rPr>
            </w:pPr>
            <w:r w:rsidRPr="005F21CE">
              <w:rPr>
                <w:sz w:val="27"/>
                <w:lang w:val="en-US"/>
              </w:rPr>
              <w:t>Is there an issuance of debt securities with an obligation to maintain financial ratios?</w:t>
            </w:r>
          </w:p>
        </w:tc>
        <w:tc>
          <w:tcPr>
            <w:tcW w:w="240" w:type="dxa"/>
            <w:tcMar>
              <w:top w:w="15" w:type="dxa"/>
              <w:left w:w="75" w:type="dxa"/>
              <w:bottom w:w="15" w:type="dxa"/>
              <w:right w:w="75" w:type="dxa"/>
            </w:tcMar>
          </w:tcPr>
          <w:p w14:paraId="2298F091" w14:textId="77777777" w:rsidR="005D04EA" w:rsidRPr="005F21CE" w:rsidRDefault="00767DE4">
            <w:pPr>
              <w:spacing w:after="0" w:line="384" w:lineRule="auto"/>
            </w:pPr>
            <w:r w:rsidRPr="005F21CE">
              <w:rPr>
                <w:sz w:val="27"/>
              </w:rPr>
              <w:t>:</w:t>
            </w:r>
          </w:p>
        </w:tc>
        <w:tc>
          <w:tcPr>
            <w:tcW w:w="5160" w:type="dxa"/>
            <w:tcMar>
              <w:top w:w="15" w:type="dxa"/>
              <w:left w:w="120" w:type="dxa"/>
              <w:bottom w:w="15" w:type="dxa"/>
              <w:right w:w="15" w:type="dxa"/>
            </w:tcMar>
          </w:tcPr>
          <w:p w14:paraId="6051B23B" w14:textId="77777777" w:rsidR="005D04EA" w:rsidRPr="005F21CE" w:rsidRDefault="00767DE4">
            <w:pPr>
              <w:spacing w:after="0" w:line="384" w:lineRule="auto"/>
            </w:pPr>
            <w:proofErr w:type="spellStart"/>
            <w:r w:rsidRPr="005F21CE">
              <w:rPr>
                <w:sz w:val="27"/>
              </w:rPr>
              <w:t>No</w:t>
            </w:r>
            <w:proofErr w:type="spellEnd"/>
          </w:p>
        </w:tc>
      </w:tr>
    </w:tbl>
    <w:p w14:paraId="6B7C5F31" w14:textId="77777777" w:rsidR="005D04EA" w:rsidRPr="005F21CE" w:rsidRDefault="005D04EA">
      <w:pPr>
        <w:pageBreakBefore/>
        <w:spacing w:after="0" w:line="384" w:lineRule="auto"/>
      </w:pPr>
    </w:p>
    <w:p w14:paraId="1D5CC0B5" w14:textId="77777777" w:rsidR="005D04EA" w:rsidRPr="005F21CE" w:rsidRDefault="005D04EA">
      <w:pPr>
        <w:spacing w:after="0" w:line="384" w:lineRule="auto"/>
      </w:pPr>
      <w:bookmarkStart w:id="3" w:name="4-2"/>
    </w:p>
    <w:bookmarkEnd w:id="3"/>
    <w:p w14:paraId="0A59946F" w14:textId="77777777" w:rsidR="005D04EA" w:rsidRPr="005F21CE" w:rsidRDefault="00767DE4">
      <w:pPr>
        <w:spacing w:after="0" w:line="384" w:lineRule="auto"/>
        <w:rPr>
          <w:lang w:val="en-US"/>
        </w:rPr>
      </w:pPr>
      <w:r w:rsidRPr="005F21CE">
        <w:rPr>
          <w:b/>
          <w:sz w:val="30"/>
          <w:lang w:val="en-US"/>
        </w:rPr>
        <w:t xml:space="preserve"> </w:t>
      </w:r>
      <w:bookmarkStart w:id="4" w:name="potentialFactorAffectFinancialCondition"/>
      <w:r w:rsidRPr="005F21CE">
        <w:rPr>
          <w:b/>
          <w:sz w:val="30"/>
          <w:lang w:val="en-US"/>
        </w:rPr>
        <w:t>4.2 Potential factors or incidents that may materially affect the financial condition or the operating results</w:t>
      </w:r>
      <w:bookmarkEnd w:id="4"/>
      <w:r w:rsidRPr="005F21CE">
        <w:rPr>
          <w:b/>
          <w:sz w:val="30"/>
          <w:lang w:val="en-US"/>
        </w:rPr>
        <w:t xml:space="preserve"> </w:t>
      </w:r>
    </w:p>
    <w:p w14:paraId="29A00E0A" w14:textId="77777777" w:rsidR="005D04EA" w:rsidRPr="005F21CE" w:rsidRDefault="005D04EA">
      <w:pPr>
        <w:spacing w:after="0" w:line="384" w:lineRule="auto"/>
        <w:rPr>
          <w:lang w:val="en-US"/>
        </w:rPr>
      </w:pPr>
      <w:bookmarkStart w:id="5" w:name="pfafc01"/>
    </w:p>
    <w:bookmarkEnd w:id="5"/>
    <w:p w14:paraId="7C475372" w14:textId="77777777" w:rsidR="005D04EA" w:rsidRPr="005F21CE" w:rsidRDefault="00767DE4">
      <w:pPr>
        <w:pBdr>
          <w:left w:val="none" w:sz="0" w:space="1" w:color="auto"/>
        </w:pBdr>
        <w:spacing w:before="30" w:after="30" w:line="384" w:lineRule="auto"/>
        <w:ind w:left="15"/>
        <w:rPr>
          <w:lang w:val="en-US"/>
        </w:rPr>
      </w:pPr>
      <w:r w:rsidRPr="005F21CE">
        <w:rPr>
          <w:b/>
          <w:sz w:val="27"/>
          <w:lang w:val="en-US"/>
        </w:rPr>
        <w:t xml:space="preserve"> Significant factors or incidents that may materially affect the future financial condition or the operating results </w:t>
      </w:r>
    </w:p>
    <w:p w14:paraId="575936FF" w14:textId="77777777" w:rsidR="005D04EA" w:rsidRPr="005F21CE" w:rsidRDefault="00767DE4">
      <w:pPr>
        <w:spacing w:after="0" w:line="288" w:lineRule="auto"/>
        <w:rPr>
          <w:lang w:val="en-US"/>
        </w:rPr>
      </w:pPr>
      <w:r w:rsidRPr="005F21CE">
        <w:rPr>
          <w:sz w:val="27"/>
          <w:lang w:val="en-US"/>
        </w:rPr>
        <w:t>       Analyzing and preparing for factors or events that could significantly affect a business's future financial position or operations, and preparing for potential future challenges, is crucial for long-term efficiency and financial stability. The Company has identified key factors across various areas, including:</w:t>
      </w:r>
    </w:p>
    <w:p w14:paraId="149FB4C6" w14:textId="77777777" w:rsidR="005D04EA" w:rsidRPr="005F21CE" w:rsidRDefault="00767DE4">
      <w:pPr>
        <w:spacing w:after="0" w:line="288" w:lineRule="auto"/>
        <w:rPr>
          <w:lang w:val="en-US"/>
        </w:rPr>
      </w:pPr>
      <w:r w:rsidRPr="005F21CE">
        <w:rPr>
          <w:sz w:val="27"/>
          <w:lang w:val="en-US"/>
        </w:rPr>
        <w:t>       </w:t>
      </w:r>
      <w:r w:rsidRPr="005F21CE">
        <w:rPr>
          <w:b/>
          <w:sz w:val="27"/>
          <w:lang w:val="en-US"/>
        </w:rPr>
        <w:t>1. Related Government Policies and Laws</w:t>
      </w:r>
    </w:p>
    <w:p w14:paraId="4DE6C521" w14:textId="77777777" w:rsidR="005D04EA" w:rsidRPr="005F21CE" w:rsidRDefault="00767DE4">
      <w:pPr>
        <w:spacing w:after="0" w:line="288" w:lineRule="auto"/>
        <w:rPr>
          <w:lang w:val="en-US"/>
        </w:rPr>
      </w:pPr>
      <w:r w:rsidRPr="005F21CE">
        <w:rPr>
          <w:sz w:val="27"/>
          <w:lang w:val="en-US"/>
        </w:rPr>
        <w:t>       • Government policies promoting clean energy continue to serve as a key driver of the Company’s business. In 2025, the Cabinet approved the Draft Solar Energy Promotion Act B.E. 2568, which allows individuals and businesses to install rooftop solar power generation systems (Solar Rooftop) provided that prior notification is submitted to the Department of Alternative Energy Development and Efficiency (DEDE) at least 30 days in advance. Under this framework, approvals from multiple government agencies, as previously required, are no longer necessary. This measure helps reduce barriers, lower energy costs, and enhance the attractiveness of private sector investment. In addition, the government has introduced tax incentives for the installation of solar panels, along with policies aimed at positioning Thailand as a clean energy hub of ASEAN.</w:t>
      </w:r>
    </w:p>
    <w:p w14:paraId="29255B7B" w14:textId="77777777" w:rsidR="005D04EA" w:rsidRPr="005F21CE" w:rsidRDefault="00767DE4">
      <w:pPr>
        <w:spacing w:after="0" w:line="288" w:lineRule="auto"/>
        <w:rPr>
          <w:lang w:val="en-US"/>
        </w:rPr>
      </w:pPr>
      <w:r w:rsidRPr="005F21CE">
        <w:rPr>
          <w:sz w:val="27"/>
          <w:lang w:val="en-US"/>
        </w:rPr>
        <w:t>       • Amendments to laws and regulations related to water and energy management, such as the 2024 standards governing wastewater discharge from certain types and sizes of buildings, and the 2024 regulations on the operation of wastewater treatment system controllers and wastewater treatment service providers, have created additional opportunities for the Company to develop new products and enhance its revenue-generating capabilities.</w:t>
      </w:r>
    </w:p>
    <w:p w14:paraId="19334505" w14:textId="77777777" w:rsidR="005D04EA" w:rsidRPr="005F21CE" w:rsidRDefault="00767DE4">
      <w:pPr>
        <w:spacing w:after="0" w:line="288" w:lineRule="auto"/>
        <w:rPr>
          <w:lang w:val="en-US"/>
        </w:rPr>
      </w:pPr>
      <w:r w:rsidRPr="005F21CE">
        <w:rPr>
          <w:sz w:val="27"/>
          <w:lang w:val="en-US"/>
        </w:rPr>
        <w:t>       </w:t>
      </w:r>
      <w:r w:rsidRPr="005F21CE">
        <w:rPr>
          <w:b/>
          <w:sz w:val="27"/>
          <w:lang w:val="en-US"/>
        </w:rPr>
        <w:t xml:space="preserve">2. Technology and Innovation </w:t>
      </w:r>
    </w:p>
    <w:p w14:paraId="5EEB814B" w14:textId="77777777" w:rsidR="005D04EA" w:rsidRPr="005F21CE" w:rsidRDefault="00767DE4">
      <w:pPr>
        <w:spacing w:after="0" w:line="288" w:lineRule="auto"/>
        <w:rPr>
          <w:lang w:val="en-US"/>
        </w:rPr>
      </w:pPr>
      <w:r w:rsidRPr="005F21CE">
        <w:rPr>
          <w:b/>
          <w:sz w:val="27"/>
          <w:lang w:val="en-US"/>
        </w:rPr>
        <w:t>       </w:t>
      </w:r>
      <w:r w:rsidRPr="005F21CE">
        <w:rPr>
          <w:sz w:val="27"/>
          <w:lang w:val="en-US"/>
        </w:rPr>
        <w:t>• The Company places importance on the development of new technologies and innovations in water management, such as wastewater treatment systems and the application of renewable energy technologies in electricity generation. These initiatives help reduce costs, enhance operational efficiency, lower energy consumption, minimize installation space requirements, and support the transition toward clean energy while reducing greenhouse gas emissions.</w:t>
      </w:r>
    </w:p>
    <w:p w14:paraId="0BCC0818" w14:textId="77777777" w:rsidR="005D04EA" w:rsidRPr="005F21CE" w:rsidRDefault="00767DE4">
      <w:pPr>
        <w:spacing w:after="0" w:line="288" w:lineRule="auto"/>
        <w:rPr>
          <w:lang w:val="en-US"/>
        </w:rPr>
      </w:pPr>
      <w:r w:rsidRPr="005F21CE">
        <w:rPr>
          <w:sz w:val="27"/>
          <w:lang w:val="en-US"/>
        </w:rPr>
        <w:lastRenderedPageBreak/>
        <w:t>       • The Company places importance on technologies for monitoring operations and controlling water quality, as well as accurate data collection systems, to support effective control and efficient management.</w:t>
      </w:r>
    </w:p>
    <w:p w14:paraId="2D5F3F23" w14:textId="77777777" w:rsidR="005D04EA" w:rsidRPr="005F21CE" w:rsidRDefault="00767DE4">
      <w:pPr>
        <w:spacing w:after="0" w:line="288" w:lineRule="auto"/>
        <w:rPr>
          <w:lang w:val="en-US"/>
        </w:rPr>
      </w:pPr>
      <w:r w:rsidRPr="005F21CE">
        <w:rPr>
          <w:sz w:val="27"/>
          <w:lang w:val="en-US"/>
        </w:rPr>
        <w:t>       • The Company is committed to developing and expanding its clean energy business by integrating Energy Storage System (ESS) technology with solar power generation systems to enhance the stability and efficiency of clean energy utilization for customers on a continuous 24-hour basis. In addition, the Company closely monitors and prepares to capitalize on opportunities arising from carbon credit mechanisms and the European Union’s Carbon Border Adjustment Mechanism (CBAM), which will be fully implemented in 2026. These developments are expected to significantly increase demand for clean energy among industrial and manufacturing sectors. This direction is aligned with the country’s Power Development Plan (PDP2024), which targets increasing the share of clean energy to 51 percent by 2037.</w:t>
      </w:r>
    </w:p>
    <w:p w14:paraId="3A05E0F4" w14:textId="77777777" w:rsidR="005D04EA" w:rsidRPr="005F21CE" w:rsidRDefault="00767DE4">
      <w:pPr>
        <w:spacing w:after="0" w:line="288" w:lineRule="auto"/>
        <w:rPr>
          <w:lang w:val="en-US"/>
        </w:rPr>
      </w:pPr>
      <w:r w:rsidRPr="005F21CE">
        <w:rPr>
          <w:sz w:val="27"/>
          <w:lang w:val="en-US"/>
        </w:rPr>
        <w:t>       </w:t>
      </w:r>
      <w:r w:rsidRPr="005F21CE">
        <w:rPr>
          <w:b/>
          <w:sz w:val="27"/>
          <w:lang w:val="en-US"/>
        </w:rPr>
        <w:t>3. Climate and Natural Disasters</w:t>
      </w:r>
    </w:p>
    <w:p w14:paraId="0E93D62C" w14:textId="77777777" w:rsidR="005D04EA" w:rsidRPr="005F21CE" w:rsidRDefault="00767DE4">
      <w:pPr>
        <w:spacing w:after="0" w:line="288" w:lineRule="auto"/>
        <w:rPr>
          <w:lang w:val="en-US"/>
        </w:rPr>
      </w:pPr>
      <w:r w:rsidRPr="005F21CE">
        <w:rPr>
          <w:b/>
          <w:sz w:val="27"/>
          <w:lang w:val="en-US"/>
        </w:rPr>
        <w:t>       </w:t>
      </w:r>
      <w:r w:rsidRPr="005F21CE">
        <w:rPr>
          <w:sz w:val="27"/>
          <w:lang w:val="en-US"/>
        </w:rPr>
        <w:t>• In the fourth quarter of 2025, flooding occurred in several areas, particularly the major flood in Hat Yai District, Songkhla Province, which affected one of the Company’s branch offices. However, the damage was limited, employees remained safe, and business operations were able to resume within a short period. This was due to the Company’s effective implementation of its Business Continuity Plan (BCP) and the availability of insurance coverage for both property damage and business interruption (BI).</w:t>
      </w:r>
    </w:p>
    <w:p w14:paraId="588C0E2E" w14:textId="77777777" w:rsidR="005D04EA" w:rsidRPr="005F21CE" w:rsidRDefault="00767DE4">
      <w:pPr>
        <w:spacing w:after="0" w:line="288" w:lineRule="auto"/>
        <w:rPr>
          <w:lang w:val="en-US"/>
        </w:rPr>
      </w:pPr>
      <w:r w:rsidRPr="005F21CE">
        <w:rPr>
          <w:sz w:val="27"/>
          <w:lang w:val="en-US"/>
        </w:rPr>
        <w:t>       • Climate change, including rising temperatures, shifting weather patterns, and global warming, has prompted government investments in disaster mitigation projects. This creates a valuable opportunity for the Company to provide solutions for water management and drought prevention.</w:t>
      </w:r>
    </w:p>
    <w:p w14:paraId="1008DD65" w14:textId="77777777" w:rsidR="005D04EA" w:rsidRPr="005F21CE" w:rsidRDefault="00767DE4">
      <w:pPr>
        <w:spacing w:after="0" w:line="288" w:lineRule="auto"/>
        <w:rPr>
          <w:lang w:val="en-US"/>
        </w:rPr>
      </w:pPr>
      <w:r w:rsidRPr="005F21CE">
        <w:rPr>
          <w:sz w:val="27"/>
          <w:lang w:val="en-US"/>
        </w:rPr>
        <w:t>       </w:t>
      </w:r>
      <w:r w:rsidRPr="005F21CE">
        <w:rPr>
          <w:b/>
          <w:sz w:val="27"/>
          <w:lang w:val="en-US"/>
        </w:rPr>
        <w:t>4. Capital Access and Interest Rates</w:t>
      </w:r>
    </w:p>
    <w:p w14:paraId="3F2227A2" w14:textId="77777777" w:rsidR="005D04EA" w:rsidRPr="005F21CE" w:rsidRDefault="00767DE4">
      <w:pPr>
        <w:spacing w:after="0" w:line="288" w:lineRule="auto"/>
        <w:rPr>
          <w:lang w:val="en-US"/>
        </w:rPr>
      </w:pPr>
      <w:r w:rsidRPr="005F21CE">
        <w:rPr>
          <w:b/>
          <w:sz w:val="27"/>
          <w:lang w:val="en-US"/>
        </w:rPr>
        <w:t>       </w:t>
      </w:r>
      <w:r w:rsidRPr="005F21CE">
        <w:rPr>
          <w:sz w:val="27"/>
          <w:lang w:val="en-US"/>
        </w:rPr>
        <w:t>• Changes in interest rates directly impact the Company’s financial costs, as it relies on loans from financial institutions for working capital. In 2025, a decline in the policy interest rate has positively affected the Company’s financial cost. Additionally, the outlook for 2026 suggests a favorable trend of further rate reductions.</w:t>
      </w:r>
    </w:p>
    <w:p w14:paraId="1C5757AE" w14:textId="77777777" w:rsidR="005D04EA" w:rsidRPr="005F21CE" w:rsidRDefault="00767DE4">
      <w:pPr>
        <w:spacing w:after="0" w:line="288" w:lineRule="auto"/>
        <w:rPr>
          <w:lang w:val="en-US"/>
        </w:rPr>
      </w:pPr>
      <w:r w:rsidRPr="005F21CE">
        <w:rPr>
          <w:sz w:val="27"/>
          <w:lang w:val="en-US"/>
        </w:rPr>
        <w:t>       • The Company continues to have the ability to raise funds through financial instruments in the capital markets or from various funding sources to support the management of its power plants and provide working capital for its operations.</w:t>
      </w:r>
    </w:p>
    <w:p w14:paraId="5DCB8247" w14:textId="77777777" w:rsidR="005D04EA" w:rsidRPr="005F21CE" w:rsidRDefault="00767DE4">
      <w:pPr>
        <w:spacing w:after="0" w:line="288" w:lineRule="auto"/>
        <w:rPr>
          <w:lang w:val="en-US"/>
        </w:rPr>
      </w:pPr>
      <w:r w:rsidRPr="005F21CE">
        <w:rPr>
          <w:sz w:val="27"/>
          <w:lang w:val="en-US"/>
        </w:rPr>
        <w:t>       </w:t>
      </w:r>
      <w:r w:rsidRPr="005F21CE">
        <w:rPr>
          <w:b/>
          <w:sz w:val="27"/>
          <w:lang w:val="en-US"/>
        </w:rPr>
        <w:t>5. Competition and Market Trends</w:t>
      </w:r>
    </w:p>
    <w:p w14:paraId="6351D65A" w14:textId="77777777" w:rsidR="005D04EA" w:rsidRPr="005F21CE" w:rsidRDefault="00767DE4">
      <w:pPr>
        <w:spacing w:after="0" w:line="288" w:lineRule="auto"/>
        <w:rPr>
          <w:lang w:val="en-US"/>
        </w:rPr>
      </w:pPr>
      <w:r w:rsidRPr="005F21CE">
        <w:rPr>
          <w:b/>
          <w:sz w:val="27"/>
          <w:lang w:val="en-US"/>
        </w:rPr>
        <w:t>       </w:t>
      </w:r>
      <w:r w:rsidRPr="005F21CE">
        <w:rPr>
          <w:sz w:val="27"/>
          <w:lang w:val="en-US"/>
        </w:rPr>
        <w:t xml:space="preserve">• Competition in the energy market, together with the development of high-efficiency technologies, may affect the performance and operating results of energy businesses. Therefore, the Company’s solar power generation subsidiary is placing importance on continuously improving the production efficiency of its three existing power plants in order to maintain revenue levels and profit margins. At the same time, the Company </w:t>
      </w:r>
      <w:r w:rsidRPr="005F21CE">
        <w:rPr>
          <w:sz w:val="27"/>
          <w:lang w:val="en-US"/>
        </w:rPr>
        <w:lastRenderedPageBreak/>
        <w:t>carefully considers expanding its generation capacity through disciplined investments, both in new projects where the government announces additional power purchase opportunities, and in potential investments in operating assets.</w:t>
      </w:r>
    </w:p>
    <w:p w14:paraId="55991E80" w14:textId="77777777" w:rsidR="005D04EA" w:rsidRPr="005F21CE" w:rsidRDefault="00767DE4">
      <w:pPr>
        <w:spacing w:after="0" w:line="288" w:lineRule="auto"/>
        <w:rPr>
          <w:lang w:val="en-US"/>
        </w:rPr>
      </w:pPr>
      <w:r w:rsidRPr="005F21CE">
        <w:rPr>
          <w:sz w:val="27"/>
          <w:lang w:val="en-US"/>
        </w:rPr>
        <w:t>       • Solar energy equipment is subject to significant price and supply volatility in both domestic and international markets. Maintaining large inventory levels may therefore affect liquidity and create risks of inventory impairment. The Company has adopted a gradual procurement policy that aligns purchases with actual demand, and strictly controls inventory levels to preserve working capital, mitigate price risks, and maintain financial flexibility.</w:t>
      </w:r>
    </w:p>
    <w:p w14:paraId="6E33EC3D" w14:textId="77777777" w:rsidR="005D04EA" w:rsidRPr="005F21CE" w:rsidRDefault="00767DE4">
      <w:pPr>
        <w:spacing w:after="0" w:line="288" w:lineRule="auto"/>
        <w:rPr>
          <w:lang w:val="en-US"/>
        </w:rPr>
      </w:pPr>
      <w:r w:rsidRPr="005F21CE">
        <w:rPr>
          <w:sz w:val="27"/>
          <w:lang w:val="en-US"/>
        </w:rPr>
        <w:t>       </w:t>
      </w:r>
      <w:r w:rsidRPr="005F21CE">
        <w:rPr>
          <w:b/>
          <w:sz w:val="27"/>
          <w:lang w:val="en-US"/>
        </w:rPr>
        <w:t>6. Managing Financial and Economic Crises</w:t>
      </w:r>
    </w:p>
    <w:p w14:paraId="58FAD4E6" w14:textId="77777777" w:rsidR="005D04EA" w:rsidRPr="005F21CE" w:rsidRDefault="00767DE4">
      <w:pPr>
        <w:spacing w:after="0" w:line="288" w:lineRule="auto"/>
        <w:rPr>
          <w:lang w:val="en-US"/>
        </w:rPr>
      </w:pPr>
      <w:r w:rsidRPr="005F21CE">
        <w:rPr>
          <w:sz w:val="27"/>
          <w:lang w:val="en-US"/>
        </w:rPr>
        <w:t>       • In 2025, the real estate customer segment particularly the condominium sector continued to experience a slowdown. Although government measures to ease credit conditions had already taken effect, purchasing power had not significantly recovered. As a result, sales in this segment remained lower compared to 2024. The Company has therefore reduced its reliance on this segment and adopted a policy of selectively engaging only with developers that demonstrate strong financial standing, sufficient liquidity, and solid sales performance, particularly those in the Top Tier category. This approach aims to control credit risk and maintain the quality of revenue amid market uncertainties.</w:t>
      </w:r>
    </w:p>
    <w:p w14:paraId="29C65565" w14:textId="77777777" w:rsidR="005D04EA" w:rsidRPr="005F21CE" w:rsidRDefault="00767DE4">
      <w:pPr>
        <w:spacing w:after="0" w:line="288" w:lineRule="auto"/>
        <w:rPr>
          <w:lang w:val="en-US"/>
        </w:rPr>
      </w:pPr>
      <w:r w:rsidRPr="005F21CE">
        <w:rPr>
          <w:sz w:val="27"/>
          <w:lang w:val="en-US"/>
        </w:rPr>
        <w:t>       • Liquidity risks among customers arising from stagnant economic conditions in 2025 have led to an increase in overdue payments for goods and services. The Company is, therefore, exercising greater caution in assessing customer creditworthiness and emphasizing prompt collection of receivables in order to mitigate payment default risks as slower growth across several business sectors has adversely affected their operating liquidity.</w:t>
      </w:r>
    </w:p>
    <w:p w14:paraId="38C6D55D" w14:textId="77777777" w:rsidR="005D04EA" w:rsidRPr="005F21CE" w:rsidRDefault="00767DE4">
      <w:pPr>
        <w:spacing w:after="0" w:line="288" w:lineRule="auto"/>
        <w:rPr>
          <w:lang w:val="en-US"/>
        </w:rPr>
      </w:pPr>
      <w:r w:rsidRPr="005F21CE">
        <w:rPr>
          <w:sz w:val="27"/>
          <w:lang w:val="en-US"/>
        </w:rPr>
        <w:t>       • Exchange rates remained highly volatile due to economic factors, inflation, and interest rate movements, directly affecting the cost of goods and production raw materials. Nevertheless, the Company has entered into forward exchange contracts to manage and control product costs as effectively as possible.</w:t>
      </w:r>
    </w:p>
    <w:p w14:paraId="3EF42A2D" w14:textId="77777777" w:rsidR="005D04EA" w:rsidRPr="005F21CE" w:rsidRDefault="00767DE4">
      <w:pPr>
        <w:spacing w:after="0" w:line="288" w:lineRule="auto"/>
        <w:rPr>
          <w:lang w:val="en-US"/>
        </w:rPr>
      </w:pPr>
      <w:r w:rsidRPr="005F21CE">
        <w:rPr>
          <w:sz w:val="27"/>
          <w:lang w:val="en-US"/>
        </w:rPr>
        <w:t>       • International tensions along the Thailand–Cambodia border may result in disruptions to cross-border orders and transportation due to border checkpoint closures, which could affect revenue during certain periods. The Company manages this risk by reducing direct sales to customers in these high-risk areas and increasing the proportion of sales through distributors. In addition, the Company diversifies transportation routes and develops alternative logistics channels to mitigate the impact of border closures and maintain operational continuity.</w:t>
      </w:r>
    </w:p>
    <w:p w14:paraId="3802CE93" w14:textId="77777777" w:rsidR="005D04EA" w:rsidRPr="005F21CE" w:rsidRDefault="00767DE4">
      <w:pPr>
        <w:spacing w:after="0" w:line="288" w:lineRule="auto"/>
        <w:rPr>
          <w:lang w:val="en-US"/>
        </w:rPr>
      </w:pPr>
      <w:r w:rsidRPr="005F21CE">
        <w:rPr>
          <w:sz w:val="27"/>
          <w:lang w:val="en-US"/>
        </w:rPr>
        <w:t xml:space="preserve">       • Uncertainty arising from potential adjustments to U.S. import tariffs may affect Thailand’s export sector across several industries and indirectly impact the debt repayment capacity of certain customer groups. The </w:t>
      </w:r>
      <w:r w:rsidRPr="005F21CE">
        <w:rPr>
          <w:sz w:val="27"/>
          <w:lang w:val="en-US"/>
        </w:rPr>
        <w:lastRenderedPageBreak/>
        <w:t xml:space="preserve">Company has therefore exercised greater caution in extending trade credit by conducting rigorous assessments of industry-specific risks and customers’ financial positions in order to limit credit risk amid uncertain trade policy conditions.  </w:t>
      </w:r>
    </w:p>
    <w:sectPr w:rsidR="005D04EA" w:rsidRPr="005F21C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H Sarabun New">
    <w:panose1 w:val="020B0500040200020003"/>
    <w:charset w:val="00"/>
    <w:family w:val="swiss"/>
    <w:pitch w:val="variable"/>
    <w:sig w:usb0="A100006F" w:usb1="5000205A" w:usb2="00000000" w:usb3="00000000" w:csb0="00010183" w:csb1="00000000"/>
  </w:font>
  <w:font w:name="Aptos Display">
    <w:altName w:val="Calibri"/>
    <w:charset w:val="00"/>
    <w:family w:val="swiss"/>
    <w:pitch w:val="variable"/>
    <w:sig w:usb0="20000287" w:usb1="00000003"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34226"/>
    <w:multiLevelType w:val="multilevel"/>
    <w:tmpl w:val="CEAE5FBE"/>
    <w:lvl w:ilvl="0">
      <w:start w:val="1"/>
      <w:numFmt w:val="bullet"/>
      <w:lvlText w:val=""/>
      <w:lvlJc w:val="left"/>
      <w:pPr>
        <w:ind w:left="803"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0FA4A2E"/>
    <w:multiLevelType w:val="multilevel"/>
    <w:tmpl w:val="21AC3CCA"/>
    <w:lvl w:ilvl="0">
      <w:start w:val="1"/>
      <w:numFmt w:val="bullet"/>
      <w:lvlText w:val=""/>
      <w:lvlJc w:val="left"/>
      <w:pPr>
        <w:ind w:left="803"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7C3C6AE1"/>
    <w:multiLevelType w:val="multilevel"/>
    <w:tmpl w:val="1F94C89C"/>
    <w:lvl w:ilvl="0">
      <w:start w:val="1"/>
      <w:numFmt w:val="bullet"/>
      <w:lvlText w:val=""/>
      <w:lvlJc w:val="left"/>
      <w:pPr>
        <w:ind w:left="803"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5D04EA"/>
    <w:rsid w:val="005D04EA"/>
    <w:rsid w:val="005F21CE"/>
    <w:rsid w:val="00767DE4"/>
    <w:rsid w:val="00CB1992"/>
    <w:rsid w:val="00E156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4CA64"/>
  <w15:docId w15:val="{D7B04385-371F-41F3-ADF3-53D48E360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 Sarabun New" w:eastAsia="Times New Roman" w:hAnsi="TH Sarabun New" w:cs="TH Sarabun New"/>
        <w:sz w:val="22"/>
        <w:szCs w:val="22"/>
        <w:lang w:val="th-TH" w:eastAsia="th-TH"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customStyle="1" w:styleId="HeaderChar">
    <w:name w:val="Header Char"/>
    <w:basedOn w:val="DefaultParagraphFont"/>
    <w:link w:val="Header"/>
    <w:uiPriority w:val="99"/>
    <w:rsid w:val="00841CD9"/>
  </w:style>
  <w:style w:type="character" w:customStyle="1" w:styleId="Heading1Char">
    <w:name w:val="Heading 1 Char"/>
    <w:basedOn w:val="DefaultParagraphFont"/>
    <w:link w:val="Heading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Heading2Char">
    <w:name w:val="Heading 2 Char"/>
    <w:basedOn w:val="DefaultParagraphFont"/>
    <w:link w:val="Heading2"/>
    <w:uiPriority w:val="9"/>
    <w:rsid w:val="00841CD9"/>
    <w:rPr>
      <w:rFonts w:asciiTheme="majorHAnsi" w:eastAsiaTheme="majorEastAsia" w:hAnsiTheme="majorHAnsi" w:cstheme="majorBidi"/>
      <w:b/>
      <w:bCs/>
      <w:color w:val="156082" w:themeColor="accent1"/>
      <w:sz w:val="26"/>
      <w:szCs w:val="26"/>
    </w:rPr>
  </w:style>
  <w:style w:type="character" w:customStyle="1" w:styleId="Heading3Char">
    <w:name w:val="Heading 3 Char"/>
    <w:basedOn w:val="DefaultParagraphFont"/>
    <w:link w:val="Heading3"/>
    <w:uiPriority w:val="9"/>
    <w:rsid w:val="00841CD9"/>
    <w:rPr>
      <w:rFonts w:asciiTheme="majorHAnsi" w:eastAsiaTheme="majorEastAsia" w:hAnsiTheme="majorHAnsi" w:cstheme="majorBidi"/>
      <w:b/>
      <w:bCs/>
      <w:color w:val="156082" w:themeColor="accent1"/>
    </w:rPr>
  </w:style>
  <w:style w:type="character" w:customStyle="1" w:styleId="Heading4Char">
    <w:name w:val="Heading 4 Char"/>
    <w:basedOn w:val="DefaultParagraphFont"/>
    <w:link w:val="Heading4"/>
    <w:uiPriority w:val="9"/>
    <w:rsid w:val="00841CD9"/>
    <w:rPr>
      <w:rFonts w:asciiTheme="majorHAnsi" w:eastAsiaTheme="majorEastAsia" w:hAnsiTheme="majorHAnsi" w:cstheme="majorBidi"/>
      <w:b/>
      <w:bCs/>
      <w:i/>
      <w:iCs/>
      <w:color w:val="156082"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SubtitleChar">
    <w:name w:val="Subtitle Char"/>
    <w:basedOn w:val="DefaultParagraphFont"/>
    <w:link w:val="Subtitle"/>
    <w:uiPriority w:val="11"/>
    <w:rsid w:val="00841CD9"/>
    <w:rPr>
      <w:rFonts w:asciiTheme="majorHAnsi" w:eastAsiaTheme="majorEastAsia" w:hAnsiTheme="majorHAnsi" w:cstheme="majorBidi"/>
      <w:i/>
      <w:iCs/>
      <w:color w:val="156082" w:themeColor="accent1"/>
      <w:spacing w:val="15"/>
      <w:sz w:val="24"/>
      <w:szCs w:val="24"/>
    </w:rPr>
  </w:style>
  <w:style w:type="paragraph" w:styleId="Title">
    <w:name w:val="Title"/>
    <w:basedOn w:val="Normal"/>
    <w:next w:val="Normal"/>
    <w:link w:val="TitleChar"/>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TitleChar">
    <w:name w:val="Title Char"/>
    <w:basedOn w:val="DefaultParagraphFont"/>
    <w:link w:val="Title"/>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467886" w:themeColor="hyperlink"/>
      <w:u w:val="single"/>
    </w:rPr>
  </w:style>
  <w:style w:type="table" w:styleId="TableGrid">
    <w:name w:val="Table Grid"/>
    <w:basedOn w:val="TableNormal"/>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basedOn w:val="Normal"/>
    <w:next w:val="Normal"/>
    <w:uiPriority w:val="35"/>
    <w:semiHidden/>
    <w:unhideWhenUsed/>
    <w:qFormat/>
    <w:rsid w:val="007109C0"/>
    <w:pPr>
      <w:spacing w:line="240" w:lineRule="auto"/>
    </w:pPr>
    <w:rPr>
      <w:b/>
      <w:bCs/>
      <w:color w:val="156082"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3238</Words>
  <Characters>18457</Characters>
  <Application>Microsoft Office Word</Application>
  <DocSecurity>0</DocSecurity>
  <Lines>153</Lines>
  <Paragraphs>43</Paragraphs>
  <ScaleCrop>false</ScaleCrop>
  <Company/>
  <LinksUpToDate>false</LinksUpToDate>
  <CharactersWithSpaces>21652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Tossapon Hanpaisan</cp:lastModifiedBy>
  <cp:revision>4</cp:revision>
  <dcterms:created xsi:type="dcterms:W3CDTF">2026-03-23T13:53:00Z</dcterms:created>
  <dcterms:modified xsi:type="dcterms:W3CDTF">2026-03-24T04:31:00Z</dcterms:modified>
</cp:coreProperties>
</file>